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01" w:rsidRPr="003D6701" w:rsidRDefault="003D6701" w:rsidP="003D67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</w:pPr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  <w:fldChar w:fldCharType="begin"/>
      </w:r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  <w:instrText xml:space="preserve"> HYPERLINK "http://oblivobr.ru/index.php/2011-05-16-13-21-39/2011-07-29-09-48-02/6500-f7yyuplasq-2" </w:instrText>
      </w:r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  <w:fldChar w:fldCharType="separate"/>
      </w:r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bdr w:val="none" w:sz="0" w:space="0" w:color="auto" w:frame="1"/>
          <w:lang w:eastAsia="ru-RU"/>
        </w:rPr>
        <w:t xml:space="preserve">Резолюция районных педагогических встреч работников образования </w:t>
      </w:r>
      <w:proofErr w:type="spellStart"/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bdr w:val="none" w:sz="0" w:space="0" w:color="auto" w:frame="1"/>
          <w:lang w:eastAsia="ru-RU"/>
        </w:rPr>
        <w:t>Обливского</w:t>
      </w:r>
      <w:proofErr w:type="spellEnd"/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bdr w:val="none" w:sz="0" w:space="0" w:color="auto" w:frame="1"/>
          <w:lang w:eastAsia="ru-RU"/>
        </w:rPr>
        <w:t xml:space="preserve"> района 2021</w:t>
      </w:r>
      <w:r w:rsidRPr="003D6701">
        <w:rPr>
          <w:rFonts w:ascii="Times New Roman" w:eastAsia="Times New Roman" w:hAnsi="Times New Roman" w:cs="Times New Roman"/>
          <w:b/>
          <w:bCs/>
          <w:color w:val="990000"/>
          <w:sz w:val="30"/>
          <w:szCs w:val="30"/>
          <w:lang w:eastAsia="ru-RU"/>
        </w:rPr>
        <w:fldChar w:fldCharType="end"/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30.08.2021г. в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Обливском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Доме культуры состоялись традиционные Августовские педагогические встречи на тему: «Новые приоритеты в образовании: управление изменениями».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работе педагогического форума приняли участие 48 человек – педагогические работники, руководители образовательных учреждений дошкольного, общего, дополнительного образования детей,  Первый заместитель главы Администрации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Е.Ю.Черноморова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заведующий отделом образования Администрации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Н.А. Малахова, председатель Обливской районной организации профсоюза  работников  образования и науки М.В. Лебедева.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педагогических встреч 2021 года обусловлена задачами реализации в районе Национального проекта «Образование», стратегическими направлениями, определенными Указом Президента РФ от 21 июля 2020 г. № 474 «О национальных целях развития Российской Федерации до 2030 года»; обновлениями в законе РФ № 273 - ФЗ «Об образовании в РФ» в части организации воспитательной системы и необходимостью корректировки приоритетов и ценностей муниципальной образовательной политики до 2024 года.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Е.Ю.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Черноморова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 своем выступлении сделала акцент на том, что развитие системы образования для Администрации района-один из главных приоритетов социально-экономической политики, а забота о будущем поколении –самые надежные, умные и благородные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инвестиции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.И</w:t>
      </w:r>
      <w:proofErr w:type="gram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менно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образование направляется большая часть средств районного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бюджета.Так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2021 года она уже составила более 50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млн.рублей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средств местного бюджета и более 184,0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областного;ожидаемое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 в 2021году из всех уровней бюджетов - более 300,0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млн.рублей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Система образования должна не только отвечать современным требованиям, но и быть опорой  и поддержкой для комплексного экономического и общественно-политического развития района.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конференции отмечают: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Воспитание, обучение, профессиональное самоопределение являются приоритетом политики нашего района, индикатором и ресурсом развития человеческого капитала. Экономические и социальные проблемы района и страны в целом отражаются в появлении новых вызовов, осмысление которых всеми субъектами образования позволит повысить качество системы образования. С изменением демографической ситуации связано увеличение охвата детей дошкольным образованием, образовательными программами дополнительного образования. Изменение социокультурной ситуации определило проблему организации непрерывного образования в новых условиях, поиска гибких решений, новых форм работы и организации обучения.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2020–2021 учебном году в районе была продолжена целенаправленная работа по достижению ключевых целей государственной политики в сфере образования: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 реализация национального проекта  «Образование»: «Современная школа», «Успех каждого ребенка» «Цифровая образовательная среда», «Учитель будущего»;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 в рамках реализации регионального проекта «Современная школа»    открыт центр цифрового и гуманитарного профилей «Точка роста» на базе МБОУ Обливской СОШ № 1; в 2021-2022 учебном году с 01.09.2021 на базах «Обливская СОШ №2», «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Леоновская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СОШ» будут открыты центры «Точка роста» естественно- научной и технологической направленности, будет модернизировано учебное оборудование кабинетов химии и физики в школах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района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spellEnd"/>
      <w:proofErr w:type="gram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федеральную программу капитального ремонта образовательных учреждений в рамках реализации регионального проекта «Современная школа» вошла МБОУ Обливская СОШ №2, капитальный ремонт которой ожидается в 2022 году на сумму более 300,0 млн. рублей, с последующим современным оснащением мебелью и оборудованием учреждения;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 рамках проекта  «Цифровая образовательная среда»  в  сентябре 2021 года все общеобразовательные учреждения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будут подключены к </w:t>
      </w: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высокоскоростному интернету. В  Обливскую СОШ №1 и Обливскую СОШ №2  в 2021 -2022 году поступит  современное компьютерное оборудование и оргтехника на общую сумму 3, 8 млн. рублей;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 соответствии с региональным проектом «Успех каждого ребенка» в  Обливской СОШ № 1,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Караичевской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ООШ,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Леоновской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капитально отремонтированы спортивные залы на общую сумму около 9,0 млн. руб. В 2022 году запланирован капитальный ремонт спортивного зала Алексеевской СОШ. Для оснащения спортивного зала Обливской СОШ №1 оборудованием и инвентарем  из резервного фонда Правительства РО по обращению Главы района в 2021 году  выделено более 2,5 млн. рублей;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 рамках федерального проекта «Учитель будущего»  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Минпросвещение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организовало проведение курсов повышения квалификации для учителей математики, русского языка, физики, химии, биологии, педагогических работников системы общего образования по совершенствованию предметных и методических компетенций, 26 учителей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приняли участие в обучении;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государственная итоговая аттестация прошла с соблюдением всех рекомендаций и требований по обеспечению санитарно-эпидемиологического благополучия в штатном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режиме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,б</w:t>
      </w:r>
      <w:proofErr w:type="gram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нарушений и технических сбоев.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Программы дошкольного образования в 2020-2021 учебном году реализовали 13 образовательных учреждений. Актуальная очередь в дошкольные учреждения отсутствует. С октября 2022 года будет введен в работу после капитального ремонта детский сад «Сказка» на 120 мест, по постановлению Главы Администрации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это учреждение является центром ранней помощи детям от 0 до 3-х лет. Предусмотрено оснащение  детсада  новым оборудованием и инвентарем (по предварительным расчетам на сумму около 10,0 млн. рублей) будет учтена потребность для работы с особенными детьми.      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января 2021 года в детском саду «Тополек» открыта комбинированная группа, в которой наряду с дошкольными программами общеразвивающей направленности реализуются адаптированные программы для детей с ограниченными возможностями здоровья.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реализации федерального проекта «Поддержка семей, имеющих детей» национального проекта «Образование» на  базе детского сада «Тополек» в 2021 году открыта  консультационная площадка по оказанию психолого-педагогической, методической и консультативной помощи родителям (законным представителям) детей;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  1 сентября 2021 года в шести общеобразовательных  и трех дошкольных образовательных учреждениях(100%) разработаны и утверждены  рабочие программы воспитания и календарные планы воспитательной работы в составе основной образовательной программы;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осуществляется системная работа образовательного комплекса по реализации дополнительных программ. В 2020-2021 учебном году во всероссийских и региональных конкурсах и олимпиадах  приняло участие 362 школьников, из них победителями и призерами таких мероприятий стали 128 обучающихся, что  является одним из существенных показателей качества системы дополнительного образования в целом.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Обливский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 детского творчества начал создавать новые организационно-управленческие структуры: методический центр образовательно-воспитательной деятельности, ресурсный центр по работе с одаренными детьми "Вектор успеха", муниципальный  центр "Российское движение школьников", районное методическое объединение педагогов дополнительного образования.  На базе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Дома детского творчества более пяти лет функционирует муниципальная служба примирения. Для этого же была введена и функционирует электронная система "Навигатор" – система, в которой дети совместно с родителями выбирают наиболее важную для них образовательную программу. С целью статистического учета введена  система "Электронное дополнительное образование". Ежегодно модернизируется деятельность районной общественной детской организации "Новое поколение", деятельность оздоровительно-образовательного центра "Орленок" – филиала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Дома детского творчества.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Участники конференции предлагают: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Принять к сведению информацию, изложенную в докладе заведующего Отделом образования Администрации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Н.А.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Малахововй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Одобрить работу Отдела образования Администрации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по созданию условий реализации стратегических направлений муниципальной образовательной политики, обеспечивающих доступность и качество образования, условия для воспитания, обучения и профессионального самоопределения школьников.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Поддержать стратегические цели федеральной образовательной политики: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Поддержать стратегические цели региональной образовательной политики: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модернизация воспитательной деятельности образовательных организаций: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цифровая трансформация образования: перспективы и новые возможности развития традиционного образования.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Считать приоритетной задачей на 2021–2022 учебный год и на период до 2025 года реализацию в рамках Национального проекта «Образование» муниципальной составляющей региональных проектов, обеспечивающих достижение целей, показателей и результатов федеральных проектов, а также муниципального плана реализации Стратегии развития воспитания до 2025 года и Программы развития воспитания в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Обливском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 до 2025 года.</w:t>
      </w:r>
      <w:proofErr w:type="gramEnd"/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Конкретизируя для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Обливского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общенациональные цели и задачи в части развития конкурентного, современного и качественного образования, обеспечения равных образовательных возможностей для граждан при реализации образовательной политики, обеспечения эффективных условий для воспитания, обучения и профессионального самоопределения в 2021–2022 учебном году необходимо решать следующие задачи: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обеспечить выполнение комплекса мероприятий, направленных на обеспечение безопасности образовательных организаций;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использовать анализ результатов ГИА, ЕГЭ, ВПР и других оценочных процедур для дальнейшего повышения качества и результативности итоговой аттестации;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обеспечить с 01.09.2021 г. внедрение рабочих программ воспитания в образовательных организациях и построение оптимальных воспитательных практик;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создать условия для развития личности ребенка, его духовно-нравственного становления и подготовки к жизненному самоопределению, в том числе обеспечив вовлечение обучающихся в деятельность детских и молодежных общественных организаций и других объединений, функционирующих в рамках дополнительного образования;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создать условия, обеспечивающие выявление и развитие одаренных детей, и реализацию их потенциальных возможностей, продолжить функционирование ресурсного центра по работе с одаренными детьми «Вектор успеха» при МБУ ДО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Обливскиий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ДДТ;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увеличить охват детей, принимающих участие (включая режим онлайн – участия), в олимпиадах, конкурсах, конференциях и иных мероприятиях разных видов направленности, реализуемых в рамках федерального проекта «Успех каждого ребенка»;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7) повысить качество  образования, развитие дополнительных образовательных услуг и предоставления дошкольного образования детям с ограниченными возможностями здоровья. Создать консультационную площадку на базе МБОУ Обливской СОШ № 1 с целью повышения компетентности родителей (законных представителей) детей в вопросах воспитания и образования;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развивать формы повышения психолого-педагогической компетентности родителей (законных представителей), в том числе путем использования единого федерального портала информационно-просветительской поддержки родителей в рамках проекта «Поддержка семей, имеющих детей»;</w:t>
      </w:r>
      <w:proofErr w:type="gramEnd"/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создать условия для дальнейшего совершенствования уровня профессионального мастерства педагогов и руководителей образовательных учреждений – участие в различных конкурсах педагогического мастерства и курсах повышения квалификации.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обеспечить участие педагогов района в реализации национальной системы профессионального роста педагогических работников в рамках федерального  проекта "Современная школа".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обеспечить сопровождение педагогов и управленческих кадров в повышении квалификации, переподготовке,  выявлении профессиональных дефицитов и построении на их основе индивидуальных маршрутов непрерывного развития профессионального мастерства, а также функционирования Единой системы научно-методического сопровождения педагогических работников и управленческих кадров на муниципальном уровне. Организовать участие педагогов в работе Центра непрерывного повышения профессионального мастерства педагогических работнико</w:t>
      </w:r>
      <w:proofErr w:type="gram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в(</w:t>
      </w:r>
      <w:proofErr w:type="gram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ЦНППМПР) Ростовской области.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12) организовать участие в курсах повышения квалификации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педколлективовОбливских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  и 13 педагогов школ района в рамках  реализации национального проекта «Образование», национальной системы учительского роста»  и «Цифровая образовательная среда».</w:t>
      </w:r>
    </w:p>
    <w:p w:rsidR="003D6701" w:rsidRPr="003D6701" w:rsidRDefault="003D6701" w:rsidP="003D6701">
      <w:pPr>
        <w:shd w:val="clear" w:color="auto" w:fill="FFFFFF"/>
        <w:spacing w:after="15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целом решение поставленных задач будет способствовать развитию конкурентного, современного и качественного образования в </w:t>
      </w:r>
      <w:proofErr w:type="spellStart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Обливском</w:t>
      </w:r>
      <w:proofErr w:type="spellEnd"/>
      <w:r w:rsidRPr="003D67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районе, реализации общенациональных целей и задач, достижению запланированных результатов муниципальных,  региональных и федеральных проектов в рамках национального проекта «Образование».</w:t>
      </w:r>
    </w:p>
    <w:p w:rsidR="001301FB" w:rsidRDefault="003D6701">
      <w:bookmarkStart w:id="0" w:name="_GoBack"/>
      <w:bookmarkEnd w:id="0"/>
    </w:p>
    <w:sectPr w:rsidR="0013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01"/>
    <w:rsid w:val="003D6701"/>
    <w:rsid w:val="00457A96"/>
    <w:rsid w:val="005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6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6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2024-06-06T08:02:00Z</dcterms:created>
  <dcterms:modified xsi:type="dcterms:W3CDTF">2024-06-06T08:03:00Z</dcterms:modified>
</cp:coreProperties>
</file>