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b/>
          <w:bCs/>
          <w:i/>
          <w:iCs/>
          <w:color w:val="000000"/>
          <w:sz w:val="21"/>
          <w:szCs w:val="21"/>
          <w:u w:val="single"/>
          <w:lang w:eastAsia="ru-RU"/>
        </w:rPr>
        <w:t>Понятие взятки.</w:t>
      </w:r>
      <w:r w:rsidRPr="00640F3E">
        <w:rPr>
          <w:rFonts w:ascii="Arial" w:eastAsia="Times New Roman" w:hAnsi="Arial" w:cs="Arial"/>
          <w:color w:val="000000"/>
          <w:sz w:val="21"/>
          <w:szCs w:val="21"/>
          <w:lang w:eastAsia="ru-RU"/>
        </w:rPr>
        <w:t xml:space="preserve">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rsidRPr="00640F3E">
        <w:rPr>
          <w:rFonts w:ascii="Arial" w:eastAsia="Times New Roman" w:hAnsi="Arial" w:cs="Arial"/>
          <w:color w:val="000000"/>
          <w:sz w:val="21"/>
          <w:szCs w:val="21"/>
          <w:lang w:eastAsia="ru-RU"/>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roofErr w:type="gramEnd"/>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b/>
          <w:bCs/>
          <w:i/>
          <w:iCs/>
          <w:color w:val="000000"/>
          <w:sz w:val="21"/>
          <w:szCs w:val="21"/>
          <w:u w:val="single"/>
          <w:lang w:eastAsia="ru-RU"/>
        </w:rPr>
        <w:t>Понятие незаконного вознаграждения.</w:t>
      </w:r>
      <w:r w:rsidRPr="00640F3E">
        <w:rPr>
          <w:rFonts w:ascii="Arial" w:eastAsia="Times New Roman" w:hAnsi="Arial" w:cs="Arial"/>
          <w:color w:val="000000"/>
          <w:sz w:val="21"/>
          <w:szCs w:val="21"/>
          <w:lang w:eastAsia="ru-RU"/>
        </w:rPr>
        <w:t> Помимо понятия - взятка в действующем российском законодательстве используется такое понятие как «незаконное вознаграждение от имени юридического лица».</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proofErr w:type="gramStart"/>
      <w:r w:rsidRPr="00640F3E">
        <w:rPr>
          <w:rFonts w:ascii="Arial" w:eastAsia="Times New Roman" w:hAnsi="Arial" w:cs="Arial"/>
          <w:color w:val="000000"/>
          <w:sz w:val="21"/>
          <w:szCs w:val="21"/>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b/>
          <w:bCs/>
          <w:i/>
          <w:iCs/>
          <w:color w:val="000000"/>
          <w:sz w:val="21"/>
          <w:szCs w:val="21"/>
          <w:u w:val="single"/>
          <w:lang w:eastAsia="ru-RU"/>
        </w:rPr>
        <w:t>Понятие покушения на получение взятки.</w:t>
      </w:r>
      <w:r w:rsidRPr="00640F3E">
        <w:rPr>
          <w:rFonts w:ascii="Arial" w:eastAsia="Times New Roman" w:hAnsi="Arial" w:cs="Arial"/>
          <w:color w:val="000000"/>
          <w:sz w:val="21"/>
          <w:szCs w:val="21"/>
          <w:lang w:eastAsia="ru-RU"/>
        </w:rPr>
        <w:t>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b/>
          <w:bCs/>
          <w:i/>
          <w:iCs/>
          <w:color w:val="000000"/>
          <w:sz w:val="21"/>
          <w:szCs w:val="21"/>
          <w:u w:val="single"/>
          <w:lang w:eastAsia="ru-RU"/>
        </w:rPr>
        <w:t>Участие родственников в получении взятки.</w:t>
      </w:r>
      <w:r w:rsidRPr="00640F3E">
        <w:rPr>
          <w:rFonts w:ascii="Arial" w:eastAsia="Times New Roman" w:hAnsi="Arial" w:cs="Arial"/>
          <w:color w:val="000000"/>
          <w:sz w:val="21"/>
          <w:szCs w:val="21"/>
          <w:lang w:eastAsia="ru-RU"/>
        </w:rPr>
        <w:t> </w:t>
      </w:r>
      <w:proofErr w:type="gramStart"/>
      <w:r w:rsidRPr="00640F3E">
        <w:rPr>
          <w:rFonts w:ascii="Arial" w:eastAsia="Times New Roman" w:hAnsi="Arial" w:cs="Arial"/>
          <w:color w:val="000000"/>
          <w:sz w:val="21"/>
          <w:szCs w:val="21"/>
          <w:lang w:eastAsia="ru-RU"/>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b/>
          <w:bCs/>
          <w:i/>
          <w:iCs/>
          <w:color w:val="000000"/>
          <w:sz w:val="21"/>
          <w:szCs w:val="21"/>
          <w:u w:val="single"/>
          <w:lang w:eastAsia="ru-RU"/>
        </w:rPr>
        <w:t>Понятие вымогательства взятки</w:t>
      </w:r>
      <w:r w:rsidRPr="00640F3E">
        <w:rPr>
          <w:rFonts w:ascii="Arial" w:eastAsia="Times New Roman" w:hAnsi="Arial" w:cs="Arial"/>
          <w:color w:val="000000"/>
          <w:sz w:val="21"/>
          <w:szCs w:val="21"/>
          <w:lang w:eastAsia="ru-RU"/>
        </w:rPr>
        <w:t xml:space="preserve">. </w:t>
      </w:r>
      <w:proofErr w:type="gramStart"/>
      <w:r w:rsidRPr="00640F3E">
        <w:rPr>
          <w:rFonts w:ascii="Arial" w:eastAsia="Times New Roman" w:hAnsi="Arial" w:cs="Arial"/>
          <w:color w:val="000000"/>
          <w:sz w:val="21"/>
          <w:szCs w:val="21"/>
          <w:lang w:eastAsia="ru-RU"/>
        </w:rP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640F3E">
        <w:rPr>
          <w:rFonts w:ascii="Arial" w:eastAsia="Times New Roman" w:hAnsi="Arial" w:cs="Arial"/>
          <w:color w:val="000000"/>
          <w:sz w:val="21"/>
          <w:szCs w:val="21"/>
          <w:lang w:eastAsia="ru-RU"/>
        </w:rPr>
        <w:t>правоохраняемых</w:t>
      </w:r>
      <w:proofErr w:type="spellEnd"/>
      <w:r w:rsidRPr="00640F3E">
        <w:rPr>
          <w:rFonts w:ascii="Arial" w:eastAsia="Times New Roman" w:hAnsi="Arial" w:cs="Arial"/>
          <w:color w:val="000000"/>
          <w:sz w:val="21"/>
          <w:szCs w:val="21"/>
          <w:lang w:eastAsia="ru-RU"/>
        </w:rPr>
        <w:t xml:space="preserve"> интересов (пункт 15 Постановления Пленума</w:t>
      </w:r>
      <w:proofErr w:type="gramEnd"/>
      <w:r w:rsidRPr="00640F3E">
        <w:rPr>
          <w:rFonts w:ascii="Arial" w:eastAsia="Times New Roman" w:hAnsi="Arial" w:cs="Arial"/>
          <w:color w:val="000000"/>
          <w:sz w:val="21"/>
          <w:szCs w:val="21"/>
          <w:lang w:eastAsia="ru-RU"/>
        </w:rPr>
        <w:t xml:space="preserve"> ВС РФ № 6).</w:t>
      </w:r>
    </w:p>
    <w:p w:rsidR="00640F3E" w:rsidRPr="00640F3E" w:rsidRDefault="00640F3E" w:rsidP="00640F3E">
      <w:pPr>
        <w:shd w:val="clear" w:color="auto" w:fill="FFFFFF"/>
        <w:spacing w:after="150" w:line="240" w:lineRule="auto"/>
        <w:ind w:firstLine="15"/>
        <w:jc w:val="center"/>
        <w:rPr>
          <w:rFonts w:ascii="Arial" w:eastAsia="Times New Roman" w:hAnsi="Arial" w:cs="Arial"/>
          <w:color w:val="000000"/>
          <w:sz w:val="21"/>
          <w:szCs w:val="21"/>
          <w:lang w:eastAsia="ru-RU"/>
        </w:rPr>
      </w:pPr>
      <w:r w:rsidRPr="00640F3E">
        <w:rPr>
          <w:rFonts w:ascii="Arial" w:eastAsia="Times New Roman" w:hAnsi="Arial" w:cs="Arial"/>
          <w:b/>
          <w:bCs/>
          <w:i/>
          <w:iCs/>
          <w:color w:val="000000"/>
          <w:sz w:val="21"/>
          <w:szCs w:val="21"/>
          <w:lang w:eastAsia="ru-RU"/>
        </w:rPr>
        <w:t>Процедуры и формы соблюдения требований к служебному поведению, а также этические нормы поведения, которыми  надлежит руководствоваться при исполнении должностных обязанностей.</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В целом ряде случаев совершение должностными лицами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640F3E" w:rsidRPr="00640F3E" w:rsidRDefault="00640F3E" w:rsidP="00640F3E">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640F3E" w:rsidRPr="00640F3E" w:rsidRDefault="00640F3E" w:rsidP="00640F3E">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640F3E" w:rsidRPr="00640F3E" w:rsidRDefault="00640F3E" w:rsidP="00640F3E">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lastRenderedPageBreak/>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Напоминаем, что служащий или работник, должен письменно информировать представителя  нанимателя (работодателя) о возникновении личной заинтересованности, которая приводит или может привести к конфликту интересов;</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Служащим и работникам необходимо воздерживаться от употребления при взаимодействии с гражданами слов, выражений и жестов, которые могут быть восприняты окружающими как просьба (намек) о даче взятки.</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proofErr w:type="gramStart"/>
      <w:r w:rsidRPr="00640F3E">
        <w:rPr>
          <w:rFonts w:ascii="Arial" w:eastAsia="Times New Roman" w:hAnsi="Arial" w:cs="Arial"/>
          <w:color w:val="000000"/>
          <w:sz w:val="21"/>
          <w:szCs w:val="21"/>
          <w:lang w:eastAsia="ru-RU"/>
        </w:rPr>
        <w:t>К числу таких выражений относятся, например: «вопрос решить трудно, но можно», «спасибо на хлеб не намажешь», «договоримся», «спасибо - не булькает», «нужны более веские аргументы», «нужно обсудить параметры», «ну что делать будем?» и т.д.</w:t>
      </w:r>
      <w:proofErr w:type="gramEnd"/>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40F3E" w:rsidRPr="00640F3E" w:rsidRDefault="00640F3E" w:rsidP="00640F3E">
      <w:pPr>
        <w:shd w:val="clear" w:color="auto" w:fill="FFFFFF"/>
        <w:spacing w:after="150" w:line="240" w:lineRule="auto"/>
        <w:ind w:firstLine="15"/>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К числу таких тем относятся, например:</w:t>
      </w:r>
    </w:p>
    <w:p w:rsidR="00640F3E" w:rsidRPr="00640F3E" w:rsidRDefault="00640F3E" w:rsidP="00640F3E">
      <w:pPr>
        <w:numPr>
          <w:ilvl w:val="0"/>
          <w:numId w:val="2"/>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низкий уровень заработной платы служащего, работника и нехватка денежных средств на реализацию тех или иных нужд;</w:t>
      </w:r>
    </w:p>
    <w:p w:rsidR="00640F3E" w:rsidRPr="00640F3E" w:rsidRDefault="00640F3E" w:rsidP="00640F3E">
      <w:pPr>
        <w:numPr>
          <w:ilvl w:val="0"/>
          <w:numId w:val="2"/>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желание приобрести то или иное имущество, получить ту или иную услугу, отправиться в туристическую поездку;</w:t>
      </w:r>
    </w:p>
    <w:p w:rsidR="00640F3E" w:rsidRPr="00640F3E" w:rsidRDefault="00640F3E" w:rsidP="00640F3E">
      <w:pPr>
        <w:numPr>
          <w:ilvl w:val="0"/>
          <w:numId w:val="2"/>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отсутствие работы у родственников служащего, работника;</w:t>
      </w:r>
    </w:p>
    <w:p w:rsidR="00640F3E" w:rsidRPr="00640F3E" w:rsidRDefault="00640F3E" w:rsidP="00640F3E">
      <w:pPr>
        <w:numPr>
          <w:ilvl w:val="0"/>
          <w:numId w:val="2"/>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необходимость поступления детей служащего, работника в образовательные учреждения и т.д.</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Это возможно даже в том случае, когда такие предложения продиктованы благими намерениями и никак не связаны с личной выгодой служащего, работника.</w:t>
      </w:r>
    </w:p>
    <w:p w:rsidR="00640F3E" w:rsidRPr="00640F3E" w:rsidRDefault="00640F3E" w:rsidP="00640F3E">
      <w:pPr>
        <w:numPr>
          <w:ilvl w:val="0"/>
          <w:numId w:val="3"/>
        </w:numPr>
        <w:shd w:val="clear" w:color="auto" w:fill="FFFFFF"/>
        <w:spacing w:before="100" w:beforeAutospacing="1" w:after="100" w:afterAutospacing="1" w:line="300" w:lineRule="atLeast"/>
        <w:ind w:left="0"/>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К числу таких предложений относятся, например предложения:</w:t>
      </w:r>
    </w:p>
    <w:p w:rsidR="00640F3E" w:rsidRPr="00640F3E" w:rsidRDefault="00640F3E" w:rsidP="00640F3E">
      <w:pPr>
        <w:numPr>
          <w:ilvl w:val="0"/>
          <w:numId w:val="3"/>
        </w:numPr>
        <w:shd w:val="clear" w:color="auto" w:fill="FFFFFF"/>
        <w:spacing w:before="100" w:beforeAutospacing="1" w:after="100" w:afterAutospacing="1" w:line="300" w:lineRule="atLeast"/>
        <w:ind w:left="0"/>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предоставить служащему, работнику и/или его родственникам скидку;</w:t>
      </w:r>
    </w:p>
    <w:p w:rsidR="00640F3E" w:rsidRPr="00640F3E" w:rsidRDefault="00640F3E" w:rsidP="00640F3E">
      <w:pPr>
        <w:numPr>
          <w:ilvl w:val="0"/>
          <w:numId w:val="3"/>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40F3E" w:rsidRPr="00640F3E" w:rsidRDefault="00640F3E" w:rsidP="00640F3E">
      <w:pPr>
        <w:numPr>
          <w:ilvl w:val="0"/>
          <w:numId w:val="3"/>
        </w:numPr>
        <w:shd w:val="clear" w:color="auto" w:fill="FFFFFF"/>
        <w:spacing w:before="100" w:beforeAutospacing="1" w:after="100" w:afterAutospacing="1" w:line="300" w:lineRule="atLeast"/>
        <w:ind w:left="0"/>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внести деньги в конкретный благотворительный фонд;</w:t>
      </w:r>
    </w:p>
    <w:p w:rsidR="00640F3E" w:rsidRPr="00640F3E" w:rsidRDefault="00640F3E" w:rsidP="00640F3E">
      <w:pPr>
        <w:numPr>
          <w:ilvl w:val="0"/>
          <w:numId w:val="3"/>
        </w:numPr>
        <w:shd w:val="clear" w:color="auto" w:fill="FFFFFF"/>
        <w:spacing w:before="100" w:beforeAutospacing="1" w:after="100" w:afterAutospacing="1" w:line="300" w:lineRule="atLeast"/>
        <w:ind w:left="0"/>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поддержать конкретную спортивную команду и т.д.</w:t>
      </w:r>
    </w:p>
    <w:p w:rsidR="00640F3E" w:rsidRPr="00640F3E" w:rsidRDefault="00640F3E" w:rsidP="00640F3E">
      <w:pPr>
        <w:shd w:val="clear" w:color="auto" w:fill="FFFFFF"/>
        <w:spacing w:after="150" w:line="240" w:lineRule="auto"/>
        <w:ind w:firstLine="15"/>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Совершение служащими и работниками, определенных действий может восприниматься, как согласие принять взятку или просьба о даче взятки.</w:t>
      </w:r>
    </w:p>
    <w:p w:rsidR="00640F3E" w:rsidRPr="00640F3E" w:rsidRDefault="00640F3E" w:rsidP="00640F3E">
      <w:pPr>
        <w:shd w:val="clear" w:color="auto" w:fill="FFFFFF"/>
        <w:spacing w:after="150" w:line="240" w:lineRule="auto"/>
        <w:ind w:firstLine="15"/>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К числу таких действий относятся, например:</w:t>
      </w:r>
    </w:p>
    <w:p w:rsidR="00640F3E" w:rsidRPr="00640F3E" w:rsidRDefault="00640F3E" w:rsidP="00640F3E">
      <w:pPr>
        <w:numPr>
          <w:ilvl w:val="0"/>
          <w:numId w:val="4"/>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регулярное получение подарков, даже (если речь идет не о государственном гражданском служащем) стоимостью менее 3000 рублей;</w:t>
      </w:r>
    </w:p>
    <w:p w:rsidR="00640F3E" w:rsidRPr="00640F3E" w:rsidRDefault="00640F3E" w:rsidP="00640F3E">
      <w:pPr>
        <w:numPr>
          <w:ilvl w:val="0"/>
          <w:numId w:val="4"/>
        </w:numPr>
        <w:shd w:val="clear" w:color="auto" w:fill="FFFFFF"/>
        <w:spacing w:before="100" w:beforeAutospacing="1" w:after="100" w:afterAutospacing="1" w:line="300" w:lineRule="atLeast"/>
        <w:ind w:left="0"/>
        <w:jc w:val="both"/>
        <w:rPr>
          <w:rFonts w:ascii="Arial" w:eastAsia="Times New Roman" w:hAnsi="Arial" w:cs="Arial"/>
          <w:color w:val="000000"/>
          <w:sz w:val="21"/>
          <w:szCs w:val="21"/>
          <w:lang w:eastAsia="ru-RU"/>
        </w:rPr>
      </w:pPr>
      <w:r w:rsidRPr="00640F3E">
        <w:rPr>
          <w:rFonts w:ascii="Arial" w:eastAsia="Times New Roman" w:hAnsi="Arial" w:cs="Arial"/>
          <w:color w:val="000000"/>
          <w:sz w:val="21"/>
          <w:szCs w:val="21"/>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1301FB" w:rsidRDefault="00640F3E">
      <w:bookmarkStart w:id="0" w:name="_GoBack"/>
      <w:bookmarkEnd w:id="0"/>
    </w:p>
    <w:sectPr w:rsidR="0013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FA5"/>
    <w:multiLevelType w:val="multilevel"/>
    <w:tmpl w:val="46F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80287"/>
    <w:multiLevelType w:val="multilevel"/>
    <w:tmpl w:val="617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A1687"/>
    <w:multiLevelType w:val="multilevel"/>
    <w:tmpl w:val="E5DA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D4237"/>
    <w:multiLevelType w:val="multilevel"/>
    <w:tmpl w:val="E2B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3E"/>
    <w:rsid w:val="00457A96"/>
    <w:rsid w:val="00517F96"/>
    <w:rsid w:val="0064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0F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0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2024-06-18T07:16:00Z</dcterms:created>
  <dcterms:modified xsi:type="dcterms:W3CDTF">2024-06-18T07:17:00Z</dcterms:modified>
</cp:coreProperties>
</file>